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0E2136"/>
          <w:sz w:val="22"/>
        </w:rPr>
        <w:t>SYSTEM FORCE IT</w:t>
      </w:r>
      <w:r>
        <w:rPr>
          <w:color w:val="5B6F82"/>
          <w:sz w:val="20"/>
        </w:rPr>
        <w:t xml:space="preserve">   |   Cyber Incident Response Toolkit</w:t>
      </w:r>
    </w:p>
    <w:p>
      <w:r>
        <w:rPr>
          <w:b/>
          <w:color w:val="0E2136"/>
          <w:sz w:val="40"/>
        </w:rPr>
        <w:t>Emergency Contact Sheet</w:t>
      </w:r>
    </w:p>
    <w:p>
      <w:r>
        <w:rPr>
          <w:color w:val="5B6F82"/>
          <w:sz w:val="22"/>
        </w:rPr>
        <w:t>Print this and keep it offline. You will need it when the systems that hold your contacts are down.</w:t>
      </w:r>
    </w:p>
    <w:p>
      <w:r>
        <w:rPr>
          <w:color w:val="5B6F82"/>
          <w:sz w:val="17"/>
        </w:rPr>
        <w:t>v1.0 – August 2026   ·   systemforce.co.uk   ·   01452 701355</w:t>
      </w:r>
    </w:p>
    <w:p/>
    <w:p>
      <w:r>
        <w:rPr>
          <w:i/>
          <w:color w:val="5B6F82"/>
          <w:sz w:val="19"/>
        </w:rPr>
        <w:t>Fill in and print. Store with your offline incident plan. Include at least two contact methods where you can.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shd w:val="clear" w:fill="0E2136"/>
          </w:tcPr>
          <w:p>
            <w:r/>
            <w:r>
              <w:rPr>
                <w:b/>
                <w:color w:val="FFFFFF"/>
              </w:rPr>
              <w:t>Role</w:t>
            </w:r>
          </w:p>
        </w:tc>
        <w:tc>
          <w:tcPr>
            <w:tcW w:type="dxa" w:w="3324"/>
            <w:shd w:val="clear" w:fill="0E2136"/>
          </w:tcPr>
          <w:p>
            <w:r/>
            <w:r>
              <w:rPr>
                <w:b/>
                <w:color w:val="FFFFFF"/>
              </w:rPr>
              <w:t>Name / organisation</w:t>
            </w:r>
          </w:p>
        </w:tc>
        <w:tc>
          <w:tcPr>
            <w:tcW w:type="dxa" w:w="3324"/>
            <w:shd w:val="clear" w:fill="0E2136"/>
          </w:tcPr>
          <w:p>
            <w:r/>
            <w:r>
              <w:rPr>
                <w:b/>
                <w:color w:val="FFFFFF"/>
              </w:rPr>
              <w:t>Phone / email (two methods)</w:t>
            </w:r>
          </w:p>
        </w:tc>
      </w:tr>
      <w:tr>
        <w:tc>
          <w:tcPr>
            <w:tcW w:type="dxa" w:w="3324"/>
            <w:shd w:val="clear" w:fill="F0F4F8"/>
          </w:tcPr>
          <w:p>
            <w:r/>
            <w:r>
              <w:rPr>
                <w:b/>
              </w:rPr>
              <w:t>Primary incident lead</w:t>
            </w:r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  <w:shd w:val="clear" w:fill="F0F4F8"/>
          </w:tcPr>
          <w:p>
            <w:r/>
            <w:r>
              <w:rPr>
                <w:b/>
              </w:rPr>
              <w:t>Secondary incident lead</w:t>
            </w:r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  <w:shd w:val="clear" w:fill="F0F4F8"/>
          </w:tcPr>
          <w:p>
            <w:r/>
            <w:r>
              <w:rPr>
                <w:b/>
              </w:rPr>
              <w:t>Senior management / director</w:t>
            </w:r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  <w:shd w:val="clear" w:fill="F0F4F8"/>
          </w:tcPr>
          <w:p>
            <w:r/>
            <w:r>
              <w:rPr>
                <w:b/>
              </w:rPr>
              <w:t>IT / managed service provider</w:t>
            </w:r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  <w:shd w:val="clear" w:fill="F0F4F8"/>
          </w:tcPr>
          <w:p>
            <w:r/>
            <w:r>
              <w:rPr>
                <w:b/>
              </w:rPr>
              <w:t>Cyber security provider</w:t>
            </w:r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  <w:shd w:val="clear" w:fill="F0F4F8"/>
          </w:tcPr>
          <w:p>
            <w:r/>
            <w:r>
              <w:rPr>
                <w:b/>
              </w:rPr>
              <w:t>Cyber insurer (24h incident line)</w:t>
            </w:r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  <w:shd w:val="clear" w:fill="F0F4F8"/>
          </w:tcPr>
          <w:p>
            <w:r/>
            <w:r>
              <w:rPr>
                <w:b/>
              </w:rPr>
              <w:t>Insurance broker</w:t>
            </w:r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  <w:shd w:val="clear" w:fill="F0F4F8"/>
          </w:tcPr>
          <w:p>
            <w:r/>
            <w:r>
              <w:rPr>
                <w:b/>
              </w:rPr>
              <w:t>Legal adviser</w:t>
            </w:r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  <w:shd w:val="clear" w:fill="F0F4F8"/>
          </w:tcPr>
          <w:p>
            <w:r/>
            <w:r>
              <w:rPr>
                <w:b/>
              </w:rPr>
              <w:t>Data protection officer / privacy contact</w:t>
            </w:r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  <w:shd w:val="clear" w:fill="F0F4F8"/>
          </w:tcPr>
          <w:p>
            <w:r/>
            <w:r>
              <w:rPr>
                <w:b/>
              </w:rPr>
              <w:t>PR / communications</w:t>
            </w:r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  <w:shd w:val="clear" w:fill="F0F4F8"/>
          </w:tcPr>
          <w:p>
            <w:r/>
            <w:r>
              <w:rPr>
                <w:b/>
              </w:rPr>
              <w:t>Bank / payments</w:t>
            </w:r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  <w:shd w:val="clear" w:fill="F0F4F8"/>
          </w:tcPr>
          <w:p>
            <w:r/>
            <w:r>
              <w:rPr>
                <w:b/>
              </w:rPr>
              <w:t>Critical supplier 1</w:t>
            </w:r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  <w:shd w:val="clear" w:fill="F0F4F8"/>
          </w:tcPr>
          <w:p>
            <w:r/>
            <w:r>
              <w:rPr>
                <w:b/>
              </w:rPr>
              <w:t>Critical supplier 2</w:t>
            </w:r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  <w:shd w:val="clear" w:fill="F0F4F8"/>
          </w:tcPr>
          <w:p>
            <w:r/>
            <w:r>
              <w:rPr>
                <w:b/>
              </w:rPr>
              <w:t>Cloud / Microsoft 365 provider</w:t>
            </w:r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  <w:shd w:val="clear" w:fill="F0F4F8"/>
          </w:tcPr>
          <w:p>
            <w:r/>
            <w:r>
              <w:rPr>
                <w:b/>
              </w:rPr>
              <w:t>Domain / DNS provider</w:t>
            </w:r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  <w:shd w:val="clear" w:fill="F0F4F8"/>
          </w:tcPr>
          <w:p>
            <w:r/>
            <w:r>
              <w:rPr>
                <w:b/>
              </w:rPr>
              <w:t>Telephony provider</w:t>
            </w:r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  <w:shd w:val="clear" w:fill="F0F4F8"/>
          </w:tcPr>
          <w:p>
            <w:r/>
            <w:r>
              <w:rPr>
                <w:b/>
              </w:rPr>
              <w:t>Emergency alternative comms (out-of-band)</w:t>
            </w:r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</w:tbl>
    <w:sectPr w:rsidR="00FC693F" w:rsidRPr="0006063C" w:rsidSect="00034616">
      <w:footerReference w:type="default" r:id="rId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B6F82"/>
        <w:sz w:val="15"/>
      </w:rPr>
      <w:t>System Force IT  ·  v1.0 – August 2026  ·  Practical template, not legal advice  ·  systemforce.co.uk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