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E2136"/>
          <w:sz w:val="22"/>
        </w:rPr>
        <w:t>SYSTEM FORCE IT</w:t>
      </w:r>
      <w:r>
        <w:rPr>
          <w:color w:val="5B6F82"/>
          <w:sz w:val="20"/>
        </w:rPr>
        <w:t xml:space="preserve">   |   Cyber Incident Response Toolkit</w:t>
      </w:r>
    </w:p>
    <w:p>
      <w:r>
        <w:rPr>
          <w:b/>
          <w:color w:val="0E2136"/>
          <w:sz w:val="40"/>
        </w:rPr>
        <w:t>Incident Response Plan</w:t>
      </w:r>
    </w:p>
    <w:p>
      <w:r>
        <w:rPr>
          <w:color w:val="5B6F82"/>
          <w:sz w:val="22"/>
        </w:rPr>
        <w:t>A fill-in template for your organisation. Replace every [placeholder]. Keep a copy offline.</w:t>
      </w:r>
    </w:p>
    <w:p>
      <w:r>
        <w:rPr>
          <w:color w:val="5B6F82"/>
          <w:sz w:val="17"/>
        </w:rPr>
        <w:t>v1.0 – August 2026   ·   systemforce.co.uk   ·   01452 701355</w:t>
      </w:r>
    </w:p>
    <w:p/>
    <w:p>
      <w:r>
        <w:rPr>
          <w:i/>
          <w:color w:val="5B6F82"/>
          <w:sz w:val="19"/>
        </w:rPr>
        <w:t>How to use: complete the sections below with your own details, agree them with your leadership team, then store a printed and an offline copy that does not depend on the systems you might lose in an incident. Review at least annually and after any real incident.</w:t>
      </w:r>
    </w:p>
    <w:p>
      <w:r>
        <w:rPr>
          <w:b/>
          <w:color w:val="0A2540"/>
          <w:sz w:val="26"/>
        </w:rPr>
        <w:t>1. Organisation and document control</w:t>
      </w:r>
    </w:p>
    <w:tbl>
      <w:tblPr>
        <w:tblStyle w:val="TableGrid"/>
        <w:tblW w:type="auto" w:w="0"/>
        <w:jc w:val="left"/>
        <w:tblLook w:firstColumn="1" w:firstRow="1" w:lastColumn="0" w:lastRow="0" w:noHBand="0" w:noVBand="1" w:val="04A0"/>
      </w:tblPr>
      <w:tblGrid>
        <w:gridCol w:w="4986"/>
        <w:gridCol w:w="4986"/>
      </w:tblGrid>
      <w:tr>
        <w:tc>
          <w:tcPr>
            <w:tcW w:type="dxa" w:w="3402"/>
            <w:shd w:val="clear" w:fill="F0F4F8"/>
          </w:tcPr>
          <w:p>
            <w:r/>
            <w:r>
              <w:rPr>
                <w:b/>
              </w:rPr>
              <w:t>Organisation</w:t>
            </w:r>
          </w:p>
        </w:tc>
        <w:tc>
          <w:tcPr>
            <w:tcW w:type="dxa" w:w="6236"/>
          </w:tcPr>
          <w:p>
            <w:r>
              <w:t>[your organisation]</w:t>
            </w:r>
          </w:p>
        </w:tc>
      </w:tr>
      <w:tr>
        <w:tc>
          <w:tcPr>
            <w:tcW w:type="dxa" w:w="3402"/>
            <w:shd w:val="clear" w:fill="F0F4F8"/>
          </w:tcPr>
          <w:p>
            <w:r/>
            <w:r>
              <w:rPr>
                <w:b/>
              </w:rPr>
              <w:t>Plan owner</w:t>
            </w:r>
          </w:p>
        </w:tc>
        <w:tc>
          <w:tcPr>
            <w:tcW w:type="dxa" w:w="6236"/>
          </w:tcPr>
          <w:p>
            <w:r>
              <w:t>[name / role]</w:t>
            </w:r>
          </w:p>
        </w:tc>
      </w:tr>
      <w:tr>
        <w:tc>
          <w:tcPr>
            <w:tcW w:type="dxa" w:w="3402"/>
            <w:shd w:val="clear" w:fill="F0F4F8"/>
          </w:tcPr>
          <w:p>
            <w:r/>
            <w:r>
              <w:rPr>
                <w:b/>
              </w:rPr>
              <w:t>Version</w:t>
            </w:r>
          </w:p>
        </w:tc>
        <w:tc>
          <w:tcPr>
            <w:tcW w:type="dxa" w:w="6236"/>
          </w:tcPr>
          <w:p>
            <w:r>
              <w:t>v1.0 – August 2026</w:t>
            </w:r>
          </w:p>
        </w:tc>
      </w:tr>
      <w:tr>
        <w:tc>
          <w:tcPr>
            <w:tcW w:type="dxa" w:w="3402"/>
            <w:shd w:val="clear" w:fill="F0F4F8"/>
          </w:tcPr>
          <w:p>
            <w:r/>
            <w:r>
              <w:rPr>
                <w:b/>
              </w:rPr>
              <w:t>Approved by</w:t>
            </w:r>
          </w:p>
        </w:tc>
        <w:tc>
          <w:tcPr>
            <w:tcW w:type="dxa" w:w="6236"/>
          </w:tcPr>
          <w:p>
            <w:r>
              <w:t>[name]</w:t>
            </w:r>
          </w:p>
        </w:tc>
      </w:tr>
      <w:tr>
        <w:tc>
          <w:tcPr>
            <w:tcW w:type="dxa" w:w="3402"/>
            <w:shd w:val="clear" w:fill="F0F4F8"/>
          </w:tcPr>
          <w:p>
            <w:r/>
            <w:r>
              <w:rPr>
                <w:b/>
              </w:rPr>
              <w:t>Date approved</w:t>
            </w:r>
          </w:p>
        </w:tc>
        <w:tc>
          <w:tcPr>
            <w:tcW w:type="dxa" w:w="6236"/>
          </w:tcPr>
          <w:p>
            <w:r>
              <w:t>[date]</w:t>
            </w:r>
          </w:p>
        </w:tc>
      </w:tr>
      <w:tr>
        <w:tc>
          <w:tcPr>
            <w:tcW w:type="dxa" w:w="3402"/>
            <w:shd w:val="clear" w:fill="F0F4F8"/>
          </w:tcPr>
          <w:p>
            <w:r/>
            <w:r>
              <w:rPr>
                <w:b/>
              </w:rPr>
              <w:t>Next review date</w:t>
            </w:r>
          </w:p>
        </w:tc>
        <w:tc>
          <w:tcPr>
            <w:tcW w:type="dxa" w:w="6236"/>
          </w:tcPr>
          <w:p>
            <w:r>
              <w:t>[date]</w:t>
            </w:r>
          </w:p>
        </w:tc>
      </w:tr>
      <w:tr>
        <w:tc>
          <w:tcPr>
            <w:tcW w:type="dxa" w:w="3402"/>
            <w:shd w:val="clear" w:fill="F0F4F8"/>
          </w:tcPr>
          <w:p>
            <w:r/>
            <w:r>
              <w:rPr>
                <w:b/>
              </w:rPr>
              <w:t>Classification</w:t>
            </w:r>
          </w:p>
        </w:tc>
        <w:tc>
          <w:tcPr>
            <w:tcW w:type="dxa" w:w="6236"/>
          </w:tcPr>
          <w:p>
            <w:r>
              <w:t>Internal</w:t>
            </w:r>
          </w:p>
        </w:tc>
      </w:tr>
    </w:tbl>
    <w:p>
      <w:r>
        <w:rPr>
          <w:b/>
          <w:color w:val="0A2540"/>
          <w:sz w:val="26"/>
        </w:rPr>
        <w:t>2. Purpose and scope</w:t>
      </w:r>
    </w:p>
    <w:p>
      <w:r>
        <w:t>This plan sets out how [organisation] detects, responds to, recovers from and learns from a cyber security incident. It applies to [systems / people / sites in scope].</w:t>
      </w:r>
    </w:p>
    <w:p>
      <w:r>
        <w:rPr>
          <w:b/>
          <w:color w:val="0A2540"/>
          <w:sz w:val="26"/>
        </w:rPr>
        <w:t>3. What we treat as an incident</w:t>
      </w:r>
    </w:p>
    <w:p>
      <w:r>
        <w:t>A cyber incident is any event that may harm the confidentiality, integrity or availability of our systems or data, or that breaches our security policy. Examples include: compromised accounts, phishing and business email compromise, malware and ransomware, lost or stolen devices, unauthorised access, suspected data theft, website compromise, supplier compromise and payment diversion.</w:t>
      </w:r>
    </w:p>
    <w:p>
      <w:r>
        <w:rPr>
          <w:b/>
          <w:color w:val="0A2540"/>
          <w:sz w:val="26"/>
        </w:rPr>
        <w:t>4. Incident command: who does what</w:t>
      </w:r>
    </w:p>
    <w:p>
      <w:r>
        <w:rPr>
          <w:i/>
          <w:color w:val="5B6F82"/>
          <w:sz w:val="19"/>
        </w:rPr>
        <w:t>Name a person (and a deputy) against each function. One person may cover several.</w:t>
      </w:r>
    </w:p>
    <w:tbl>
      <w:tblPr>
        <w:tblStyle w:val="TableGrid"/>
        <w:tblW w:type="auto" w:w="0"/>
        <w:jc w:val="left"/>
        <w:tblLook w:firstColumn="1" w:firstRow="1" w:lastColumn="0" w:lastRow="0" w:noHBand="0" w:noVBand="1" w:val="04A0"/>
      </w:tblPr>
      <w:tblGrid>
        <w:gridCol w:w="4986"/>
        <w:gridCol w:w="4986"/>
      </w:tblGrid>
      <w:tr>
        <w:tc>
          <w:tcPr>
            <w:tcW w:type="dxa" w:w="3402"/>
            <w:shd w:val="clear" w:fill="F0F4F8"/>
          </w:tcPr>
          <w:p>
            <w:r/>
            <w:r>
              <w:rPr>
                <w:b/>
              </w:rPr>
              <w:t>Incident lead</w:t>
            </w:r>
          </w:p>
        </w:tc>
        <w:tc>
          <w:tcPr>
            <w:tcW w:type="dxa" w:w="6236"/>
          </w:tcPr>
          <w:p>
            <w:r>
              <w:t>[name] / deputy [name]</w:t>
            </w:r>
          </w:p>
        </w:tc>
      </w:tr>
      <w:tr>
        <w:tc>
          <w:tcPr>
            <w:tcW w:type="dxa" w:w="3402"/>
            <w:shd w:val="clear" w:fill="F0F4F8"/>
          </w:tcPr>
          <w:p>
            <w:r/>
            <w:r>
              <w:rPr>
                <w:b/>
              </w:rPr>
              <w:t>Technical lead</w:t>
            </w:r>
          </w:p>
        </w:tc>
        <w:tc>
          <w:tcPr>
            <w:tcW w:type="dxa" w:w="6236"/>
          </w:tcPr>
          <w:p>
            <w:r>
              <w:t>[name / IT provider]</w:t>
            </w:r>
          </w:p>
        </w:tc>
      </w:tr>
      <w:tr>
        <w:tc>
          <w:tcPr>
            <w:tcW w:type="dxa" w:w="3402"/>
            <w:shd w:val="clear" w:fill="F0F4F8"/>
          </w:tcPr>
          <w:p>
            <w:r/>
            <w:r>
              <w:rPr>
                <w:b/>
              </w:rPr>
              <w:t>Business lead</w:t>
            </w:r>
          </w:p>
        </w:tc>
        <w:tc>
          <w:tcPr>
            <w:tcW w:type="dxa" w:w="6236"/>
          </w:tcPr>
          <w:p>
            <w:r>
              <w:t>[name]</w:t>
            </w:r>
          </w:p>
        </w:tc>
      </w:tr>
      <w:tr>
        <w:tc>
          <w:tcPr>
            <w:tcW w:type="dxa" w:w="3402"/>
            <w:shd w:val="clear" w:fill="F0F4F8"/>
          </w:tcPr>
          <w:p>
            <w:r/>
            <w:r>
              <w:rPr>
                <w:b/>
              </w:rPr>
              <w:t>Communications lead</w:t>
            </w:r>
          </w:p>
        </w:tc>
        <w:tc>
          <w:tcPr>
            <w:tcW w:type="dxa" w:w="6236"/>
          </w:tcPr>
          <w:p>
            <w:r>
              <w:t>[name]</w:t>
            </w:r>
          </w:p>
        </w:tc>
      </w:tr>
      <w:tr>
        <w:tc>
          <w:tcPr>
            <w:tcW w:type="dxa" w:w="3402"/>
            <w:shd w:val="clear" w:fill="F0F4F8"/>
          </w:tcPr>
          <w:p>
            <w:r/>
            <w:r>
              <w:rPr>
                <w:b/>
              </w:rPr>
              <w:t>Data protection / legal lead</w:t>
            </w:r>
          </w:p>
        </w:tc>
        <w:tc>
          <w:tcPr>
            <w:tcW w:type="dxa" w:w="6236"/>
          </w:tcPr>
          <w:p>
            <w:r>
              <w:t>[name]</w:t>
            </w:r>
          </w:p>
        </w:tc>
      </w:tr>
      <w:tr>
        <w:tc>
          <w:tcPr>
            <w:tcW w:type="dxa" w:w="3402"/>
            <w:shd w:val="clear" w:fill="F0F4F8"/>
          </w:tcPr>
          <w:p>
            <w:r/>
            <w:r>
              <w:rPr>
                <w:b/>
              </w:rPr>
              <w:t>Recorder</w:t>
            </w:r>
          </w:p>
        </w:tc>
        <w:tc>
          <w:tcPr>
            <w:tcW w:type="dxa" w:w="6236"/>
          </w:tcPr>
          <w:p>
            <w:r>
              <w:t>[name]</w:t>
            </w:r>
          </w:p>
        </w:tc>
      </w:tr>
      <w:tr>
        <w:tc>
          <w:tcPr>
            <w:tcW w:type="dxa" w:w="3402"/>
            <w:shd w:val="clear" w:fill="F0F4F8"/>
          </w:tcPr>
          <w:p>
            <w:r/>
            <w:r>
              <w:rPr>
                <w:b/>
              </w:rPr>
              <w:t>Executive decision maker</w:t>
            </w:r>
          </w:p>
        </w:tc>
        <w:tc>
          <w:tcPr>
            <w:tcW w:type="dxa" w:w="6236"/>
          </w:tcPr>
          <w:p>
            <w:r>
              <w:t>[name]</w:t>
            </w:r>
          </w:p>
        </w:tc>
      </w:tr>
    </w:tbl>
    <w:p>
      <w:r>
        <w:rPr>
          <w:b/>
          <w:color w:val="0A2540"/>
          <w:sz w:val="26"/>
        </w:rPr>
        <w:t>5. Key contacts</w:t>
      </w:r>
    </w:p>
    <w:tbl>
      <w:tblPr>
        <w:tblStyle w:val="TableGrid"/>
        <w:tblW w:type="auto" w:w="0"/>
        <w:jc w:val="left"/>
        <w:tblLook w:firstColumn="1" w:firstRow="1" w:lastColumn="0" w:lastRow="0" w:noHBand="0" w:noVBand="1" w:val="04A0"/>
      </w:tblPr>
      <w:tblGrid>
        <w:gridCol w:w="4986"/>
        <w:gridCol w:w="4986"/>
      </w:tblGrid>
      <w:tr>
        <w:tc>
          <w:tcPr>
            <w:tcW w:type="dxa" w:w="3402"/>
            <w:shd w:val="clear" w:fill="F0F4F8"/>
          </w:tcPr>
          <w:p>
            <w:r/>
            <w:r>
              <w:rPr>
                <w:b/>
              </w:rPr>
              <w:t>IT / managed service provider</w:t>
            </w:r>
          </w:p>
        </w:tc>
        <w:tc>
          <w:tcPr>
            <w:tcW w:type="dxa" w:w="6236"/>
          </w:tcPr>
          <w:p>
            <w:r>
              <w:t>[name, phone, email]</w:t>
            </w:r>
          </w:p>
        </w:tc>
      </w:tr>
      <w:tr>
        <w:tc>
          <w:tcPr>
            <w:tcW w:type="dxa" w:w="3402"/>
            <w:shd w:val="clear" w:fill="F0F4F8"/>
          </w:tcPr>
          <w:p>
            <w:r/>
            <w:r>
              <w:rPr>
                <w:b/>
              </w:rPr>
              <w:t>Cyber insurer / incident line</w:t>
            </w:r>
          </w:p>
        </w:tc>
        <w:tc>
          <w:tcPr>
            <w:tcW w:type="dxa" w:w="6236"/>
          </w:tcPr>
          <w:p>
            <w:r>
              <w:t>[insurer, policy no., 24h number]</w:t>
            </w:r>
          </w:p>
        </w:tc>
      </w:tr>
      <w:tr>
        <w:tc>
          <w:tcPr>
            <w:tcW w:type="dxa" w:w="3402"/>
            <w:shd w:val="clear" w:fill="F0F4F8"/>
          </w:tcPr>
          <w:p>
            <w:r/>
            <w:r>
              <w:rPr>
                <w:b/>
              </w:rPr>
              <w:t>Insurance broker</w:t>
            </w:r>
          </w:p>
        </w:tc>
        <w:tc>
          <w:tcPr>
            <w:tcW w:type="dxa" w:w="6236"/>
          </w:tcPr>
          <w:p>
            <w:r>
              <w:t>[name, phone]</w:t>
            </w:r>
          </w:p>
        </w:tc>
      </w:tr>
      <w:tr>
        <w:tc>
          <w:tcPr>
            <w:tcW w:type="dxa" w:w="3402"/>
            <w:shd w:val="clear" w:fill="F0F4F8"/>
          </w:tcPr>
          <w:p>
            <w:r/>
            <w:r>
              <w:rPr>
                <w:b/>
              </w:rPr>
              <w:t>Legal adviser / DPO</w:t>
            </w:r>
          </w:p>
        </w:tc>
        <w:tc>
          <w:tcPr>
            <w:tcW w:type="dxa" w:w="6236"/>
          </w:tcPr>
          <w:p>
            <w:r>
              <w:t>[name, phone]</w:t>
            </w:r>
          </w:p>
        </w:tc>
      </w:tr>
      <w:tr>
        <w:tc>
          <w:tcPr>
            <w:tcW w:type="dxa" w:w="3402"/>
            <w:shd w:val="clear" w:fill="F0F4F8"/>
          </w:tcPr>
          <w:p>
            <w:r/>
            <w:r>
              <w:rPr>
                <w:b/>
              </w:rPr>
              <w:t>Bank / payments</w:t>
            </w:r>
          </w:p>
        </w:tc>
        <w:tc>
          <w:tcPr>
            <w:tcW w:type="dxa" w:w="6236"/>
          </w:tcPr>
          <w:p>
            <w:r>
              <w:t>[name, phone]</w:t>
            </w:r>
          </w:p>
        </w:tc>
      </w:tr>
      <w:tr>
        <w:tc>
          <w:tcPr>
            <w:tcW w:type="dxa" w:w="3402"/>
            <w:shd w:val="clear" w:fill="F0F4F8"/>
          </w:tcPr>
          <w:p>
            <w:r/>
            <w:r>
              <w:rPr>
                <w:b/>
              </w:rPr>
              <w:t>Cloud / Microsoft 365 provider</w:t>
            </w:r>
          </w:p>
        </w:tc>
        <w:tc>
          <w:tcPr>
            <w:tcW w:type="dxa" w:w="6236"/>
          </w:tcPr>
          <w:p>
            <w:r>
              <w:t>[details]</w:t>
            </w:r>
          </w:p>
        </w:tc>
      </w:tr>
      <w:tr>
        <w:tc>
          <w:tcPr>
            <w:tcW w:type="dxa" w:w="3402"/>
            <w:shd w:val="clear" w:fill="F0F4F8"/>
          </w:tcPr>
          <w:p>
            <w:r/>
            <w:r>
              <w:rPr>
                <w:b/>
              </w:rPr>
              <w:t>Website / DNS provider</w:t>
            </w:r>
          </w:p>
        </w:tc>
        <w:tc>
          <w:tcPr>
            <w:tcW w:type="dxa" w:w="6236"/>
          </w:tcPr>
          <w:p>
            <w:r>
              <w:t>[details]</w:t>
            </w:r>
          </w:p>
        </w:tc>
      </w:tr>
      <w:tr>
        <w:tc>
          <w:tcPr>
            <w:tcW w:type="dxa" w:w="3402"/>
            <w:shd w:val="clear" w:fill="F0F4F8"/>
          </w:tcPr>
          <w:p>
            <w:r/>
            <w:r>
              <w:rPr>
                <w:b/>
              </w:rPr>
              <w:t>Telephony provider</w:t>
            </w:r>
          </w:p>
        </w:tc>
        <w:tc>
          <w:tcPr>
            <w:tcW w:type="dxa" w:w="6236"/>
          </w:tcPr>
          <w:p>
            <w:r>
              <w:t>[details]</w:t>
            </w:r>
          </w:p>
        </w:tc>
      </w:tr>
    </w:tbl>
    <w:p>
      <w:r>
        <w:rPr>
          <w:b/>
          <w:color w:val="0A2540"/>
          <w:sz w:val="26"/>
        </w:rPr>
        <w:t>6. Severity levels</w:t>
      </w:r>
    </w:p>
    <w:tbl>
      <w:tblPr>
        <w:tblStyle w:val="TableGrid"/>
        <w:tblW w:type="auto" w:w="0"/>
        <w:tblLook w:firstColumn="1" w:firstRow="1" w:lastColumn="0" w:lastRow="0" w:noHBand="0" w:noVBand="1" w:val="04A0"/>
      </w:tblPr>
      <w:tblGrid>
        <w:gridCol w:w="4986"/>
        <w:gridCol w:w="4986"/>
      </w:tblGrid>
      <w:tr>
        <w:tc>
          <w:tcPr>
            <w:tcW w:type="dxa" w:w="4986"/>
            <w:shd w:val="clear" w:fill="0E2136"/>
          </w:tcPr>
          <w:p>
            <w:r>
              <w:rPr>
                <w:b/>
                <w:color w:val="FFFFFF"/>
              </w:rPr>
              <w:t>Level</w:t>
            </w:r>
          </w:p>
        </w:tc>
        <w:tc>
          <w:tcPr>
            <w:tcW w:type="dxa" w:w="4986"/>
            <w:shd w:val="clear" w:fill="0E2136"/>
          </w:tcPr>
          <w:p>
            <w:r>
              <w:rPr>
                <w:b/>
                <w:color w:val="FFFFFF"/>
              </w:rPr>
              <w:t>Meaning and response</w:t>
            </w:r>
          </w:p>
        </w:tc>
      </w:tr>
      <w:tr>
        <w:tc>
          <w:tcPr>
            <w:tcW w:type="dxa" w:w="4986"/>
          </w:tcPr>
          <w:p>
            <w:r>
              <w:t>Critical</w:t>
            </w:r>
          </w:p>
        </w:tc>
        <w:tc>
          <w:tcPr>
            <w:tcW w:type="dxa" w:w="4986"/>
          </w:tcPr>
          <w:p>
            <w:r>
              <w:t>Business-wide impact or attacker in control. Full response now, executive-led, external help.</w:t>
            </w:r>
          </w:p>
        </w:tc>
      </w:tr>
      <w:tr>
        <w:tc>
          <w:tcPr>
            <w:tcW w:type="dxa" w:w="4986"/>
          </w:tcPr>
          <w:p>
            <w:r>
              <w:t>High</w:t>
            </w:r>
          </w:p>
        </w:tc>
        <w:tc>
          <w:tcPr>
            <w:tcW w:type="dxa" w:w="4986"/>
          </w:tcPr>
          <w:p>
            <w:r>
              <w:t>Confirmed compromise of an account or important system. Urgent, coordinated, same day.</w:t>
            </w:r>
          </w:p>
        </w:tc>
      </w:tr>
      <w:tr>
        <w:tc>
          <w:tcPr>
            <w:tcW w:type="dxa" w:w="4986"/>
          </w:tcPr>
          <w:p>
            <w:r>
              <w:t>Normal</w:t>
            </w:r>
          </w:p>
        </w:tc>
        <w:tc>
          <w:tcPr>
            <w:tcW w:type="dxa" w:w="4986"/>
          </w:tcPr>
          <w:p>
            <w:r>
              <w:t>Contained and understood. Work through in normal hours, document it.</w:t>
            </w:r>
          </w:p>
        </w:tc>
      </w:tr>
      <w:tr>
        <w:tc>
          <w:tcPr>
            <w:tcW w:type="dxa" w:w="4986"/>
          </w:tcPr>
          <w:p>
            <w:r>
              <w:t>Low</w:t>
            </w:r>
          </w:p>
        </w:tc>
        <w:tc>
          <w:tcPr>
            <w:tcW w:type="dxa" w:w="4986"/>
          </w:tcPr>
          <w:p>
            <w:r>
              <w:t>Blocked, benign or a false positive. Record it and move on.</w:t>
            </w:r>
          </w:p>
        </w:tc>
      </w:tr>
    </w:tbl>
    <w:p>
      <w:r>
        <w:rPr>
          <w:b/>
          <w:color w:val="0A2540"/>
          <w:sz w:val="26"/>
        </w:rPr>
        <w:t>7. Authority to act (agreed in advance)</w:t>
      </w:r>
    </w:p>
    <w:p>
      <w:r>
        <w:rPr>
          <w:i/>
          <w:color w:val="5B6F82"/>
          <w:sz w:val="19"/>
        </w:rPr>
        <w:t>Record who may authorise each action, and their deputy.</w:t>
      </w:r>
    </w:p>
    <w:p>
      <w:r>
        <w:rPr>
          <w:b/>
        </w:rPr>
        <w:t xml:space="preserve">Disconnect the business from the internet: </w:t>
      </w:r>
      <w:r>
        <w:rPr>
          <w:i/>
          <w:color w:val="5B6F82"/>
        </w:rPr>
        <w:t>[who authorises / deputy]</w:t>
      </w:r>
      <w:r>
        <w:t xml:space="preserve">  ________________________________________</w:t>
      </w:r>
    </w:p>
    <w:p>
      <w:r>
        <w:rPr>
          <w:b/>
        </w:rPr>
        <w:t xml:space="preserve">Disable user accounts (including a director): </w:t>
      </w:r>
      <w:r>
        <w:rPr>
          <w:i/>
          <w:color w:val="5B6F82"/>
        </w:rPr>
        <w:t>[who authorises / deputy]</w:t>
      </w:r>
      <w:r>
        <w:t xml:space="preserve">  ________________________________________</w:t>
      </w:r>
    </w:p>
    <w:p>
      <w:r>
        <w:rPr>
          <w:b/>
        </w:rPr>
        <w:t xml:space="preserve">Shut down a server / take a business system offline: </w:t>
      </w:r>
      <w:r>
        <w:rPr>
          <w:i/>
          <w:color w:val="5B6F82"/>
        </w:rPr>
        <w:t>[who authorises / deputy]</w:t>
      </w:r>
      <w:r>
        <w:t xml:space="preserve">  ________________________________________</w:t>
      </w:r>
    </w:p>
    <w:p>
      <w:r>
        <w:rPr>
          <w:b/>
        </w:rPr>
        <w:t xml:space="preserve">Invoke disaster recovery and restore from backup: </w:t>
      </w:r>
      <w:r>
        <w:rPr>
          <w:i/>
          <w:color w:val="5B6F82"/>
        </w:rPr>
        <w:t>[who authorises / deputy]</w:t>
      </w:r>
      <w:r>
        <w:t xml:space="preserve">  ________________________________________</w:t>
      </w:r>
    </w:p>
    <w:p>
      <w:r>
        <w:rPr>
          <w:b/>
        </w:rPr>
        <w:t xml:space="preserve">Contact customers: </w:t>
      </w:r>
      <w:r>
        <w:rPr>
          <w:i/>
          <w:color w:val="5B6F82"/>
        </w:rPr>
        <w:t>[who authorises / deputy]</w:t>
      </w:r>
      <w:r>
        <w:t xml:space="preserve">  ________________________________________</w:t>
      </w:r>
    </w:p>
    <w:p>
      <w:r>
        <w:rPr>
          <w:b/>
        </w:rPr>
        <w:t xml:space="preserve">Contact the press: </w:t>
      </w:r>
      <w:r>
        <w:rPr>
          <w:i/>
          <w:color w:val="5B6F82"/>
        </w:rPr>
        <w:t>[who authorises / deputy]</w:t>
      </w:r>
      <w:r>
        <w:t xml:space="preserve">  ________________________________________</w:t>
      </w:r>
    </w:p>
    <w:p>
      <w:r>
        <w:rPr>
          <w:b/>
        </w:rPr>
        <w:t xml:space="preserve">Notify a regulator (e.g. ICO): </w:t>
      </w:r>
      <w:r>
        <w:rPr>
          <w:i/>
          <w:color w:val="5B6F82"/>
        </w:rPr>
        <w:t>[who authorises / deputy]</w:t>
      </w:r>
      <w:r>
        <w:t xml:space="preserve">  ________________________________________</w:t>
      </w:r>
    </w:p>
    <w:p>
      <w:r>
        <w:rPr>
          <w:b/>
        </w:rPr>
        <w:t xml:space="preserve">Engage external incident-response / forensic specialists: </w:t>
      </w:r>
      <w:r>
        <w:rPr>
          <w:i/>
          <w:color w:val="5B6F82"/>
        </w:rPr>
        <w:t>[who authorises / deputy]</w:t>
      </w:r>
      <w:r>
        <w:t xml:space="preserve">  ________________________________________</w:t>
      </w:r>
    </w:p>
    <w:p>
      <w:r>
        <w:rPr>
          <w:b/>
        </w:rPr>
        <w:t xml:space="preserve">Authorise emergency spending: </w:t>
      </w:r>
      <w:r>
        <w:rPr>
          <w:i/>
          <w:color w:val="5B6F82"/>
        </w:rPr>
        <w:t>[who authorises / deputy]</w:t>
      </w:r>
      <w:r>
        <w:t xml:space="preserve">  ________________________________________</w:t>
      </w:r>
    </w:p>
    <w:p>
      <w:r>
        <w:rPr>
          <w:b/>
          <w:color w:val="0A2540"/>
          <w:sz w:val="26"/>
        </w:rPr>
        <w:t>8. Response process</w:t>
      </w:r>
    </w:p>
    <w:p>
      <w:pPr>
        <w:pStyle w:val="ListNumber"/>
      </w:pPr>
      <w:r>
        <w:t>Detect and declare the incident; set a provisional severity.</w:t>
      </w:r>
    </w:p>
    <w:p>
      <w:pPr>
        <w:pStyle w:val="ListNumber"/>
      </w:pPr>
      <w:r>
        <w:t>Start the incident log; nominate the recorder.</w:t>
      </w:r>
    </w:p>
    <w:p>
      <w:pPr>
        <w:pStyle w:val="ListNumber"/>
      </w:pPr>
      <w:r>
        <w:t>Establish command; get the right people on a call.</w:t>
      </w:r>
    </w:p>
    <w:p>
      <w:pPr>
        <w:pStyle w:val="ListNumber"/>
      </w:pPr>
      <w:r>
        <w:t>Contain: stop obvious ongoing harm, isolate affected systems.</w:t>
      </w:r>
    </w:p>
    <w:p>
      <w:pPr>
        <w:pStyle w:val="ListNumber"/>
      </w:pPr>
      <w:r>
        <w:t>Assess: scope, entry route, whether identity is affected, whether the attacker is still active.</w:t>
      </w:r>
    </w:p>
    <w:p>
      <w:pPr>
        <w:pStyle w:val="ListNumber"/>
      </w:pPr>
      <w:r>
        <w:t>Preserve evidence throughout.</w:t>
      </w:r>
    </w:p>
    <w:p>
      <w:pPr>
        <w:pStyle w:val="ListNumber"/>
      </w:pPr>
      <w:r>
        <w:t>Assess data protection and legal obligations in parallel.</w:t>
      </w:r>
    </w:p>
    <w:p>
      <w:pPr>
        <w:pStyle w:val="ListNumber"/>
      </w:pPr>
      <w:r>
        <w:t>Communicate with staff and, where appropriate, customers, using safe channels.</w:t>
      </w:r>
    </w:p>
    <w:p>
      <w:pPr>
        <w:pStyle w:val="ListNumber"/>
      </w:pPr>
      <w:r>
        <w:t>Recover from known-good sources through the recovery gate.</w:t>
      </w:r>
    </w:p>
    <w:p>
      <w:pPr>
        <w:pStyle w:val="ListNumber"/>
      </w:pPr>
      <w:r>
        <w:t>Meet any reporting obligations.</w:t>
      </w:r>
    </w:p>
    <w:p>
      <w:pPr>
        <w:pStyle w:val="ListNumber"/>
      </w:pPr>
      <w:r>
        <w:t>Close the incident and hold a no-blame post-incident review.</w:t>
      </w:r>
    </w:p>
    <w:p>
      <w:r>
        <w:rPr>
          <w:b/>
          <w:color w:val="0A2540"/>
          <w:sz w:val="26"/>
        </w:rPr>
        <w:t>9. Evidence handling</w:t>
      </w:r>
    </w:p>
    <w:p>
      <w:r>
        <w:t>Keep a timestamped log, screenshots, email headers, authentication and firewall logs, endpoint alerts, any ransom note and indicators of compromise. Work from copies, keep originals untouched, and record who collected what, when and from where.</w:t>
      </w:r>
    </w:p>
    <w:p>
      <w:r>
        <w:rPr>
          <w:b/>
          <w:color w:val="0A2540"/>
          <w:sz w:val="26"/>
        </w:rPr>
        <w:t>10. Communications</w:t>
      </w:r>
    </w:p>
    <w:p>
      <w:r>
        <w:rPr>
          <w:b/>
        </w:rPr>
        <w:t xml:space="preserve">Safe out-of-band channel if email is compromised: </w:t>
      </w:r>
      <w:r>
        <w:rPr>
          <w:i/>
          <w:color w:val="5B6F82"/>
        </w:rPr>
        <w:t>[e.g. phone tree / messaging app]</w:t>
      </w:r>
      <w:r>
        <w:t xml:space="preserve">  ________________________________________</w:t>
      </w:r>
    </w:p>
    <w:p>
      <w:r>
        <w:rPr>
          <w:b/>
        </w:rPr>
        <w:t xml:space="preserve">Who speaks to the press / public: </w:t>
      </w:r>
      <w:r>
        <w:rPr>
          <w:i/>
          <w:color w:val="5B6F82"/>
        </w:rPr>
        <w:t>[name]</w:t>
      </w:r>
      <w:r>
        <w:t xml:space="preserve">  ________________________________________</w:t>
      </w:r>
    </w:p>
    <w:p>
      <w:r>
        <w:rPr>
          <w:b/>
        </w:rPr>
        <w:t xml:space="preserve">Staff notification method: </w:t>
      </w:r>
      <w:r>
        <w:t xml:space="preserve">  ________________________________________</w:t>
      </w:r>
    </w:p>
    <w:p>
      <w:r>
        <w:rPr>
          <w:b/>
          <w:color w:val="0A2540"/>
          <w:sz w:val="26"/>
        </w:rPr>
        <w:t>11. Recovery</w:t>
      </w:r>
    </w:p>
    <w:p>
      <w:r>
        <w:t>Order of restoration (edit to your business): identity, communications, network, core business system, finance, customer-facing services, file/data services, secondary systems. Nothing reconnects until it passes the recovery gate (root cause understood, vulnerability fixed, credentials rotated, persistence removed, source clean, logging on, detection in place, reconnection approved).</w:t>
      </w:r>
    </w:p>
    <w:p>
      <w:r>
        <w:rPr>
          <w:b/>
          <w:color w:val="0A2540"/>
          <w:sz w:val="26"/>
        </w:rPr>
        <w:t>12. Reporting obligations</w:t>
      </w:r>
    </w:p>
    <w:p>
      <w:r>
        <w:t>Consider, per incident: NCSC (ncsc.gov.uk/report) for significant attacks; the ICO within 72 hours of becoming aware of a notifiable personal data breach; Report Fraud for crime; your bank for payment fraud; your insurer per policy; sector regulators and contractual partners; and affected individuals where risk to them is high. Reporting to one body does not satisfy duties to another.</w:t>
      </w:r>
    </w:p>
    <w:p>
      <w:r>
        <w:rPr>
          <w:b/>
          <w:color w:val="0A2540"/>
          <w:sz w:val="26"/>
        </w:rPr>
        <w:t>13. Closure and review</w:t>
      </w:r>
    </w:p>
    <w:p>
      <w:r>
        <w:rPr>
          <w:b/>
        </w:rPr>
        <w:t xml:space="preserve">Incident closed by: </w:t>
      </w:r>
      <w:r>
        <w:t xml:space="preserve">  ________________________________________</w:t>
      </w:r>
    </w:p>
    <w:p>
      <w:r>
        <w:rPr>
          <w:b/>
        </w:rPr>
        <w:t xml:space="preserve">Date closed: </w:t>
      </w:r>
      <w:r>
        <w:t xml:space="preserve">  ________________________________________</w:t>
      </w:r>
    </w:p>
    <w:p>
      <w:r>
        <w:rPr>
          <w:b/>
        </w:rPr>
        <w:t xml:space="preserve">Post-incident review date: </w:t>
      </w:r>
      <w:r>
        <w:t xml:space="preserve">  ________________________________________</w:t>
      </w:r>
    </w:p>
    <w:sectPr w:rsidR="00FC693F" w:rsidRPr="0006063C" w:rsidSect="00034616">
      <w:footerReference w:type="default" r:id="rId9"/>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B6F82"/>
        <w:sz w:val="15"/>
      </w:rPr>
      <w:t>System Force IT  ·  v1.0 – August 2026  ·  Practical template, not legal advice  ·  systemforce.co.uk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