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0E2136"/>
          <w:sz w:val="22"/>
        </w:rPr>
        <w:t>SYSTEM FORCE IT</w:t>
      </w:r>
      <w:r>
        <w:rPr>
          <w:color w:val="5B6F82"/>
          <w:sz w:val="20"/>
        </w:rPr>
        <w:t xml:space="preserve">   |   Cyber Incident Response Toolkit</w:t>
      </w:r>
    </w:p>
    <w:p>
      <w:r>
        <w:rPr>
          <w:b/>
          <w:color w:val="0E2136"/>
          <w:sz w:val="40"/>
        </w:rPr>
        <w:t>Personal Data Breach Assessment</w:t>
      </w:r>
    </w:p>
    <w:p>
      <w:r>
        <w:rPr>
          <w:color w:val="5B6F82"/>
          <w:sz w:val="22"/>
        </w:rPr>
        <w:t>A practical aid for deciding whether a personal data breach must be reported. Not a substitute for legal advice or current ICO guidance.</w:t>
      </w:r>
    </w:p>
    <w:p>
      <w:r>
        <w:rPr>
          <w:color w:val="5B6F82"/>
          <w:sz w:val="17"/>
        </w:rPr>
        <w:t>v1.0 – August 2026   ·   systemforce.co.uk   ·   01452 701355</w:t>
      </w:r>
    </w:p>
    <w:p/>
    <w:p>
      <w:r>
        <w:rPr>
          <w:i/>
          <w:color w:val="5B6F82"/>
          <w:sz w:val="19"/>
        </w:rPr>
        <w:t>IMPORTANT: This form helps you think through a personal data breach and record your decision. It is practical guidance only. Check the current ICO guidance and take legal advice for your specific circumstances. Not every incident is a personal data breach, and not every breach is reportable.</w:t>
      </w:r>
    </w:p>
    <w:p>
      <w:r>
        <w:rPr>
          <w:b/>
          <w:color w:val="0A2540"/>
          <w:sz w:val="26"/>
        </w:rPr>
        <w:t>1. The incident</w:t>
      </w:r>
    </w:p>
    <w:p>
      <w:r>
        <w:rPr>
          <w:b/>
        </w:rPr>
        <w:t xml:space="preserve">Incident reference: </w:t>
      </w:r>
      <w:r>
        <w:t xml:space="preserve">  ________________________________________</w:t>
      </w:r>
    </w:p>
    <w:p>
      <w:r>
        <w:rPr>
          <w:b/>
        </w:rPr>
        <w:t xml:space="preserve">Date/time we became aware: </w:t>
      </w:r>
      <w:r>
        <w:t xml:space="preserve">  ________________________________________</w:t>
      </w:r>
    </w:p>
    <w:p>
      <w:r>
        <w:rPr>
          <w:b/>
        </w:rPr>
        <w:t xml:space="preserve">Completed by: </w:t>
      </w:r>
      <w:r>
        <w:t xml:space="preserve">  ________________________________________</w:t>
      </w:r>
    </w:p>
    <w:p>
      <w:r>
        <w:t>What happened (brief factual summary):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b/>
          <w:color w:val="0A2540"/>
          <w:sz w:val="26"/>
        </w:rPr>
        <w:t>2. Is personal data involved?</w:t>
      </w:r>
    </w:p>
    <w:p>
      <w:pPr>
        <w:ind w:left="227"/>
      </w:pPr>
      <w:r>
        <w:rPr>
          <w:sz w:val="24"/>
        </w:rPr>
        <w:t xml:space="preserve">☐  </w:t>
      </w:r>
      <w:r>
        <w:t>Yes - personal data (information about identifiable people) is involved. Continue.</w:t>
      </w:r>
    </w:p>
    <w:p>
      <w:pPr>
        <w:ind w:left="227"/>
      </w:pPr>
      <w:r>
        <w:rPr>
          <w:sz w:val="24"/>
        </w:rPr>
        <w:t xml:space="preserve">☐  </w:t>
      </w:r>
      <w:r>
        <w:t>No - no personal data involved. This is an incident but not a personal data breach. Record and stop here.</w:t>
      </w:r>
    </w:p>
    <w:p>
      <w:r>
        <w:rPr>
          <w:b/>
          <w:color w:val="0A2540"/>
          <w:sz w:val="26"/>
        </w:rPr>
        <w:t>3. What personal data and whose?</w:t>
      </w:r>
    </w:p>
    <w:p>
      <w:r>
        <w:rPr>
          <w:b/>
        </w:rPr>
        <w:t xml:space="preserve">Categories of personal data: </w:t>
      </w:r>
      <w:r>
        <w:rPr>
          <w:i/>
          <w:color w:val="5B6F82"/>
        </w:rPr>
        <w:t>[e.g. names, emails, financial, health]</w:t>
      </w:r>
      <w:r>
        <w:t xml:space="preserve">  ________________________________________</w:t>
      </w:r>
    </w:p>
    <w:p>
      <w:r>
        <w:rPr>
          <w:b/>
        </w:rPr>
        <w:t xml:space="preserve">Categories of people affected: </w:t>
      </w:r>
      <w:r>
        <w:rPr>
          <w:i/>
          <w:color w:val="5B6F82"/>
        </w:rPr>
        <w:t>[e.g. customers, staff]</w:t>
      </w:r>
      <w:r>
        <w:t xml:space="preserve">  ________________________________________</w:t>
      </w:r>
    </w:p>
    <w:p>
      <w:r>
        <w:rPr>
          <w:b/>
        </w:rPr>
        <w:t xml:space="preserve">Approximate number of people: </w:t>
      </w:r>
      <w:r>
        <w:t xml:space="preserve">  ________________________________________</w:t>
      </w:r>
    </w:p>
    <w:p>
      <w:r>
        <w:rPr>
          <w:b/>
        </w:rPr>
        <w:t xml:space="preserve">Approximate number of records: </w:t>
      </w:r>
      <w:r>
        <w:t xml:space="preserve">  ________________________________________</w:t>
      </w:r>
    </w:p>
    <w:p>
      <w:r>
        <w:rPr>
          <w:b/>
        </w:rPr>
        <w:t xml:space="preserve">Was the data encrypted / protected?: </w:t>
      </w:r>
      <w:r>
        <w:t xml:space="preserve">  ________________________________________</w:t>
      </w:r>
    </w:p>
    <w:p>
      <w:r>
        <w:rPr>
          <w:b/>
          <w:color w:val="0A2540"/>
          <w:sz w:val="26"/>
        </w:rPr>
        <w:t>4. Access vs exfiltration</w:t>
      </w:r>
    </w:p>
    <w:p>
      <w:pPr>
        <w:ind w:left="227"/>
      </w:pPr>
      <w:r>
        <w:rPr>
          <w:sz w:val="24"/>
        </w:rPr>
        <w:t xml:space="preserve">☐  </w:t>
      </w:r>
      <w:r>
        <w:t>Data was potentially accessible only (no evidence it was viewed or taken)</w:t>
      </w:r>
    </w:p>
    <w:p>
      <w:pPr>
        <w:ind w:left="227"/>
      </w:pPr>
      <w:r>
        <w:rPr>
          <w:sz w:val="24"/>
        </w:rPr>
        <w:t xml:space="preserve">☐  </w:t>
      </w:r>
      <w:r>
        <w:t>Data was demonstrably accessed or copied out (evidence exists)</w:t>
      </w:r>
    </w:p>
    <w:p>
      <w:r>
        <w:rPr>
          <w:b/>
        </w:rPr>
        <w:t xml:space="preserve">Evidence supporting the above: </w:t>
      </w:r>
      <w:r>
        <w:t xml:space="preserve">  ________________________________________</w:t>
      </w:r>
    </w:p>
    <w:p>
      <w:r>
        <w:rPr>
          <w:b/>
          <w:color w:val="0A2540"/>
          <w:sz w:val="26"/>
        </w:rPr>
        <w:t>5. Likely consequences for individuals</w:t>
      </w:r>
    </w:p>
    <w:p>
      <w:r>
        <w:t>Consider risks such as identity theft, fraud, financial loss, distress, discrimination or reputational harm.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b/>
          <w:color w:val="0A2540"/>
          <w:sz w:val="26"/>
        </w:rPr>
        <w:t>6. Risk decision</w:t>
      </w:r>
    </w:p>
    <w:p>
      <w:pPr>
        <w:ind w:left="227"/>
      </w:pPr>
      <w:r>
        <w:rPr>
          <w:sz w:val="24"/>
        </w:rPr>
        <w:t xml:space="preserve">☐  </w:t>
      </w:r>
      <w:r>
        <w:t>Unlikely to result in a risk to individuals - not reportable to the ICO. Record reasoning below.</w:t>
      </w:r>
    </w:p>
    <w:p>
      <w:pPr>
        <w:ind w:left="227"/>
      </w:pPr>
      <w:r>
        <w:rPr>
          <w:sz w:val="24"/>
        </w:rPr>
        <w:t xml:space="preserve">☐  </w:t>
      </w:r>
      <w:r>
        <w:t>Likely to result in a risk - report to the ICO within 72 hours of awareness.</w:t>
      </w:r>
    </w:p>
    <w:p>
      <w:pPr>
        <w:ind w:left="227"/>
      </w:pPr>
      <w:r>
        <w:rPr>
          <w:sz w:val="24"/>
        </w:rPr>
        <w:t xml:space="preserve">☐  </w:t>
      </w:r>
      <w:r>
        <w:t>Likely to result in a HIGH risk - also inform affected individuals without undue delay.</w:t>
      </w:r>
    </w:p>
    <w:p>
      <w:r>
        <w:rPr>
          <w:b/>
          <w:color w:val="0A2540"/>
          <w:sz w:val="26"/>
        </w:rPr>
        <w:t>7. Reasoning and decisions (record in all cases)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402"/>
            <w:shd w:val="clear" w:fill="F0F4F8"/>
          </w:tcPr>
          <w:p>
            <w:r/>
            <w:r>
              <w:rPr>
                <w:b/>
              </w:rPr>
              <w:t>Decision to notify ICO?</w:t>
            </w:r>
          </w:p>
        </w:tc>
        <w:tc>
          <w:tcPr>
            <w:tcW w:type="dxa" w:w="6236"/>
          </w:tcPr>
          <w:p>
            <w:r>
              <w:t>Yes / No</w:t>
            </w:r>
          </w:p>
        </w:tc>
      </w:tr>
      <w:tr>
        <w:tc>
          <w:tcPr>
            <w:tcW w:type="dxa" w:w="3402"/>
            <w:shd w:val="clear" w:fill="F0F4F8"/>
          </w:tcPr>
          <w:p>
            <w:r/>
            <w:r>
              <w:rPr>
                <w:b/>
              </w:rPr>
              <w:t>If yes, reported at</w:t>
            </w:r>
          </w:p>
        </w:tc>
        <w:tc>
          <w:tcPr>
            <w:tcW w:type="dxa" w:w="6236"/>
          </w:tcPr>
          <w:p>
            <w:r>
              <w:t>[date/time]</w:t>
            </w:r>
          </w:p>
        </w:tc>
      </w:tr>
      <w:tr>
        <w:tc>
          <w:tcPr>
            <w:tcW w:type="dxa" w:w="3402"/>
            <w:shd w:val="clear" w:fill="F0F4F8"/>
          </w:tcPr>
          <w:p>
            <w:r/>
            <w:r>
              <w:rPr>
                <w:b/>
              </w:rPr>
              <w:t>If no, reason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3402"/>
            <w:shd w:val="clear" w:fill="F0F4F8"/>
          </w:tcPr>
          <w:p>
            <w:r/>
            <w:r>
              <w:rPr>
                <w:b/>
              </w:rPr>
              <w:t>Individuals informed?</w:t>
            </w:r>
          </w:p>
        </w:tc>
        <w:tc>
          <w:tcPr>
            <w:tcW w:type="dxa" w:w="6236"/>
          </w:tcPr>
          <w:p>
            <w:r>
              <w:t>Yes / No / N/A</w:t>
            </w:r>
          </w:p>
        </w:tc>
      </w:tr>
      <w:tr>
        <w:tc>
          <w:tcPr>
            <w:tcW w:type="dxa" w:w="3402"/>
            <w:shd w:val="clear" w:fill="F0F4F8"/>
          </w:tcPr>
          <w:p>
            <w:r/>
            <w:r>
              <w:rPr>
                <w:b/>
              </w:rPr>
              <w:t>Decision approved by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3402"/>
            <w:shd w:val="clear" w:fill="F0F4F8"/>
          </w:tcPr>
          <w:p>
            <w:r/>
            <w:r>
              <w:rPr>
                <w:b/>
              </w:rPr>
              <w:t>Date</w:t>
            </w:r>
          </w:p>
        </w:tc>
        <w:tc>
          <w:tcPr>
            <w:tcW w:type="dxa" w:w="6236"/>
          </w:tcPr>
          <w:p>
            <w:r/>
          </w:p>
        </w:tc>
      </w:tr>
    </w:tbl>
    <w:p>
      <w:r>
        <w:rPr>
          <w:i/>
          <w:color w:val="5B6F82"/>
          <w:sz w:val="19"/>
        </w:rPr>
        <w:t>Even where you decide not to report, UK GDPR requires you to record the breach and your reasoning.</w:t>
      </w:r>
    </w:p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F82"/>
        <w:sz w:val="15"/>
      </w:rPr>
      <w:t>System Force IT  ·  v1.0 – August 2026  ·  Practical template, not legal advice  ·  systemforce.co.uk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